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670" w:type="dxa"/>
        <w:tblLayout w:type="fixed"/>
        <w:tblLook w:val="04A0" w:firstRow="1" w:lastRow="0" w:firstColumn="1" w:lastColumn="0" w:noHBand="0" w:noVBand="1"/>
      </w:tblPr>
      <w:tblGrid>
        <w:gridCol w:w="9890"/>
        <w:gridCol w:w="9890"/>
        <w:gridCol w:w="9890"/>
      </w:tblGrid>
      <w:tr w:rsidR="008E0822" w14:paraId="56604C9C" w14:textId="77777777" w:rsidTr="004A311A">
        <w:tc>
          <w:tcPr>
            <w:tcW w:w="9890" w:type="dxa"/>
          </w:tcPr>
          <w:p w14:paraId="3BF23526" w14:textId="5FA855BC" w:rsidR="008E0822" w:rsidRDefault="008E0822">
            <w:pPr>
              <w:tabs>
                <w:tab w:val="left" w:pos="3750"/>
              </w:tabs>
              <w:suppressAutoHyphens/>
              <w:jc w:val="center"/>
            </w:pPr>
            <w:r>
              <w:rPr>
                <w:noProof/>
              </w:rPr>
              <w:drawing>
                <wp:inline distT="0" distB="0" distL="0" distR="0" wp14:anchorId="468A3F1A" wp14:editId="57EDF4EC">
                  <wp:extent cx="6477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DD8DB" w14:textId="77777777" w:rsidR="008E0822" w:rsidRDefault="008E0822">
            <w:pPr>
              <w:suppressAutoHyphens/>
              <w:jc w:val="center"/>
            </w:pPr>
          </w:p>
          <w:p w14:paraId="20A53289" w14:textId="77777777" w:rsidR="008E0822" w:rsidRDefault="008E0822">
            <w:pPr>
              <w:suppressAutoHyphens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КОНТРОЛЬНО-СЧЕТНАЯ ПАЛАТА</w:t>
            </w:r>
          </w:p>
          <w:p w14:paraId="7C907799" w14:textId="77777777" w:rsidR="008E0822" w:rsidRDefault="008E0822">
            <w:pPr>
              <w:suppressAutoHyphens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ЗЛАТОУСТОВСКОГО ГОРОДСКОГО ОКРУГА</w:t>
            </w:r>
          </w:p>
          <w:p w14:paraId="4D4933E0" w14:textId="77777777" w:rsidR="008E0822" w:rsidRDefault="008E0822">
            <w:pPr>
              <w:suppressAutoHyphens/>
              <w:jc w:val="center"/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EF0F33" wp14:editId="14270F44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93345</wp:posOffset>
                      </wp:positionV>
                      <wp:extent cx="62865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7AE437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" strokeweight="2pt"/>
                  </w:pict>
                </mc:Fallback>
              </mc:AlternateContent>
            </w:r>
          </w:p>
          <w:p w14:paraId="0C57E5A1" w14:textId="77777777" w:rsidR="008E0822" w:rsidRPr="004A311A" w:rsidRDefault="008E0822" w:rsidP="008E082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890" w:type="dxa"/>
          </w:tcPr>
          <w:p w14:paraId="23110F62" w14:textId="77777777" w:rsidR="008E0822" w:rsidRDefault="008E0822">
            <w:pPr>
              <w:suppressAutoHyphens/>
              <w:jc w:val="center"/>
            </w:pPr>
          </w:p>
        </w:tc>
        <w:tc>
          <w:tcPr>
            <w:tcW w:w="9890" w:type="dxa"/>
          </w:tcPr>
          <w:p w14:paraId="6087D76D" w14:textId="77777777" w:rsidR="008E0822" w:rsidRDefault="008E0822">
            <w:pPr>
              <w:suppressAutoHyphens/>
              <w:jc w:val="center"/>
            </w:pPr>
          </w:p>
        </w:tc>
      </w:tr>
    </w:tbl>
    <w:p w14:paraId="4767D89C" w14:textId="77777777" w:rsidR="008E0822" w:rsidRDefault="008E0822" w:rsidP="008E0822">
      <w:pPr>
        <w:suppressAutoHyphens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75EDADA3" w14:textId="77777777" w:rsidR="008E0822" w:rsidRDefault="008E0822" w:rsidP="008E082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по результатам проведения экспертно-аналитического мероприятия </w:t>
      </w:r>
    </w:p>
    <w:p w14:paraId="46E392D9" w14:textId="4D31F659" w:rsidR="005C5FB4" w:rsidRDefault="008E0822" w:rsidP="00D208AA">
      <w:pPr>
        <w:jc w:val="center"/>
        <w:rPr>
          <w:rFonts w:cstheme="minorBidi"/>
          <w:b/>
          <w:sz w:val="28"/>
          <w:szCs w:val="28"/>
        </w:rPr>
      </w:pPr>
      <w:r>
        <w:rPr>
          <w:b/>
          <w:bCs/>
          <w:sz w:val="28"/>
          <w:szCs w:val="28"/>
        </w:rPr>
        <w:t>«М</w:t>
      </w:r>
      <w:r>
        <w:rPr>
          <w:b/>
          <w:sz w:val="28"/>
          <w:szCs w:val="28"/>
        </w:rPr>
        <w:t xml:space="preserve">ониторинга исполнения региональных проектов за </w:t>
      </w:r>
      <w:r w:rsidR="00683BE9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202</w:t>
      </w:r>
      <w:r w:rsidR="004A311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г.»</w:t>
      </w:r>
    </w:p>
    <w:p w14:paraId="747889DD" w14:textId="77777777" w:rsidR="00D208AA" w:rsidRPr="00D208AA" w:rsidRDefault="00D208AA" w:rsidP="00D208AA">
      <w:pPr>
        <w:jc w:val="center"/>
        <w:rPr>
          <w:rFonts w:cstheme="minorBidi"/>
          <w:b/>
          <w:sz w:val="28"/>
          <w:szCs w:val="28"/>
        </w:rPr>
      </w:pPr>
    </w:p>
    <w:p w14:paraId="2ECC12EA" w14:textId="77777777" w:rsidR="00D208AA" w:rsidRDefault="00D208AA" w:rsidP="00D208A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Экспертно-аналитическое мероприятие проведено в рамках полномочий органа внешнего муниципального финансового контроля, предусмотренных пунктом 9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14:paraId="65FE748C" w14:textId="698EA64D" w:rsidR="00D208AA" w:rsidRDefault="00D208AA" w:rsidP="00D208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мониторинга исполнения региональных проектов                          за </w:t>
      </w:r>
      <w:r w:rsidR="00851B1C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>202</w:t>
      </w:r>
      <w:r w:rsidR="004A311A">
        <w:rPr>
          <w:sz w:val="28"/>
          <w:szCs w:val="28"/>
        </w:rPr>
        <w:t>5</w:t>
      </w:r>
      <w:r>
        <w:rPr>
          <w:sz w:val="28"/>
          <w:szCs w:val="28"/>
        </w:rPr>
        <w:t xml:space="preserve"> г. отражены в заключении </w:t>
      </w:r>
      <w:r w:rsidRPr="009F465B">
        <w:rPr>
          <w:sz w:val="28"/>
          <w:szCs w:val="28"/>
        </w:rPr>
        <w:t>№</w:t>
      </w:r>
      <w:r w:rsidR="00851B1C">
        <w:rPr>
          <w:sz w:val="28"/>
          <w:szCs w:val="28"/>
        </w:rPr>
        <w:t>121</w:t>
      </w:r>
      <w:r w:rsidRPr="009F465B">
        <w:rPr>
          <w:sz w:val="28"/>
          <w:szCs w:val="28"/>
        </w:rPr>
        <w:t xml:space="preserve"> от </w:t>
      </w:r>
      <w:r w:rsidR="005D7CD6">
        <w:rPr>
          <w:sz w:val="28"/>
          <w:szCs w:val="28"/>
        </w:rPr>
        <w:t>2</w:t>
      </w:r>
      <w:r w:rsidR="004A311A">
        <w:rPr>
          <w:sz w:val="28"/>
          <w:szCs w:val="28"/>
        </w:rPr>
        <w:t>9</w:t>
      </w:r>
      <w:r w:rsidRPr="009F465B">
        <w:rPr>
          <w:sz w:val="28"/>
          <w:szCs w:val="28"/>
        </w:rPr>
        <w:t>.</w:t>
      </w:r>
      <w:r w:rsidR="005D7CD6">
        <w:rPr>
          <w:sz w:val="28"/>
          <w:szCs w:val="28"/>
        </w:rPr>
        <w:t>1</w:t>
      </w:r>
      <w:r w:rsidRPr="009F465B">
        <w:rPr>
          <w:sz w:val="28"/>
          <w:szCs w:val="28"/>
        </w:rPr>
        <w:t>0.202</w:t>
      </w:r>
      <w:r w:rsidR="004A311A">
        <w:rPr>
          <w:sz w:val="28"/>
          <w:szCs w:val="28"/>
        </w:rPr>
        <w:t>5</w:t>
      </w:r>
      <w:r>
        <w:rPr>
          <w:sz w:val="28"/>
          <w:szCs w:val="28"/>
        </w:rPr>
        <w:t>г</w:t>
      </w:r>
      <w:r w:rsidRPr="009F465B">
        <w:rPr>
          <w:sz w:val="28"/>
          <w:szCs w:val="28"/>
        </w:rPr>
        <w:t>.</w:t>
      </w:r>
    </w:p>
    <w:p w14:paraId="067F0440" w14:textId="77777777" w:rsidR="005D7CD6" w:rsidRDefault="00E844A8" w:rsidP="005D7CD6">
      <w:pPr>
        <w:ind w:left="212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0" wp14:anchorId="594B63A8" wp14:editId="10C48003">
            <wp:simplePos x="0" y="0"/>
            <wp:positionH relativeFrom="column">
              <wp:posOffset>80452</wp:posOffset>
            </wp:positionH>
            <wp:positionV relativeFrom="paragraph">
              <wp:posOffset>55328</wp:posOffset>
            </wp:positionV>
            <wp:extent cx="1216025" cy="866140"/>
            <wp:effectExtent l="0" t="0" r="3175" b="10160"/>
            <wp:wrapThrough wrapText="bothSides">
              <wp:wrapPolygon edited="0">
                <wp:start x="0" y="0"/>
                <wp:lineTo x="0" y="21378"/>
                <wp:lineTo x="21318" y="21378"/>
                <wp:lineTo x="21318" y="0"/>
                <wp:lineTo x="0" y="0"/>
              </wp:wrapPolygon>
            </wp:wrapThrough>
            <wp:docPr id="18538223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8AA" w:rsidRPr="00356FC1">
        <w:rPr>
          <w:sz w:val="28"/>
          <w:szCs w:val="28"/>
        </w:rPr>
        <w:t xml:space="preserve">1. </w:t>
      </w:r>
      <w:r w:rsidR="005D7CD6">
        <w:rPr>
          <w:sz w:val="28"/>
          <w:szCs w:val="28"/>
        </w:rPr>
        <w:t>В 2025 году в округе запланирована реализация 9 (девяти) региональных проектов Челябинской области</w:t>
      </w:r>
      <w:r w:rsidR="005D7CD6" w:rsidRPr="00627800">
        <w:rPr>
          <w:rFonts w:eastAsia="Calibri"/>
          <w:sz w:val="28"/>
          <w:szCs w:val="28"/>
          <w:lang w:eastAsia="en-US"/>
        </w:rPr>
        <w:t xml:space="preserve"> </w:t>
      </w:r>
      <w:r w:rsidR="005D7CD6" w:rsidRPr="00627800">
        <w:rPr>
          <w:sz w:val="28"/>
          <w:szCs w:val="28"/>
        </w:rPr>
        <w:t xml:space="preserve">в </w:t>
      </w:r>
      <w:r w:rsidR="005D7CD6">
        <w:rPr>
          <w:sz w:val="28"/>
          <w:szCs w:val="28"/>
        </w:rPr>
        <w:t>составе</w:t>
      </w:r>
      <w:r w:rsidR="005D7CD6" w:rsidRPr="00627800">
        <w:rPr>
          <w:sz w:val="28"/>
          <w:szCs w:val="28"/>
        </w:rPr>
        <w:t xml:space="preserve"> </w:t>
      </w:r>
      <w:r w:rsidR="005D7CD6">
        <w:rPr>
          <w:sz w:val="28"/>
          <w:szCs w:val="28"/>
        </w:rPr>
        <w:t xml:space="preserve">четырех </w:t>
      </w:r>
      <w:r w:rsidR="005D7CD6" w:rsidRPr="00627800">
        <w:rPr>
          <w:sz w:val="28"/>
          <w:szCs w:val="28"/>
        </w:rPr>
        <w:t>национальных проектов</w:t>
      </w:r>
      <w:r w:rsidR="005D7CD6">
        <w:rPr>
          <w:sz w:val="28"/>
          <w:szCs w:val="28"/>
        </w:rPr>
        <w:t xml:space="preserve">. </w:t>
      </w:r>
    </w:p>
    <w:p w14:paraId="5FC22616" w14:textId="77777777" w:rsidR="005D7CD6" w:rsidRPr="00034B11" w:rsidRDefault="005D7CD6" w:rsidP="005D7CD6">
      <w:pPr>
        <w:ind w:firstLine="709"/>
        <w:jc w:val="both"/>
        <w:rPr>
          <w:sz w:val="28"/>
          <w:szCs w:val="28"/>
        </w:rPr>
      </w:pPr>
      <w:bookmarkStart w:id="0" w:name="_Hlk198311892"/>
      <w:r w:rsidRPr="007860C0">
        <w:rPr>
          <w:sz w:val="28"/>
          <w:szCs w:val="28"/>
        </w:rPr>
        <w:t>По состоянию на 30.0</w:t>
      </w:r>
      <w:r>
        <w:rPr>
          <w:sz w:val="28"/>
          <w:szCs w:val="28"/>
        </w:rPr>
        <w:t>9</w:t>
      </w:r>
      <w:r w:rsidRPr="007860C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860C0">
        <w:rPr>
          <w:sz w:val="28"/>
          <w:szCs w:val="28"/>
        </w:rPr>
        <w:t>г. на реализацию мероприятий региональных проектов сводной бюджетной росписью округа предусмотрены средства</w:t>
      </w:r>
      <w:r>
        <w:rPr>
          <w:sz w:val="28"/>
          <w:szCs w:val="28"/>
        </w:rPr>
        <w:t xml:space="preserve"> </w:t>
      </w:r>
      <w:r w:rsidRPr="007860C0">
        <w:rPr>
          <w:sz w:val="28"/>
          <w:szCs w:val="28"/>
        </w:rPr>
        <w:t xml:space="preserve">в объеме </w:t>
      </w:r>
      <w:r>
        <w:rPr>
          <w:sz w:val="28"/>
          <w:szCs w:val="28"/>
        </w:rPr>
        <w:t xml:space="preserve">325 680,1 </w:t>
      </w:r>
      <w:r w:rsidRPr="007860C0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7860C0">
        <w:rPr>
          <w:sz w:val="28"/>
          <w:szCs w:val="28"/>
        </w:rPr>
        <w:t xml:space="preserve"> что составляет </w:t>
      </w:r>
      <w:r>
        <w:rPr>
          <w:sz w:val="28"/>
          <w:szCs w:val="28"/>
        </w:rPr>
        <w:t>3,6</w:t>
      </w:r>
      <w:r w:rsidRPr="007860C0">
        <w:rPr>
          <w:sz w:val="28"/>
          <w:szCs w:val="28"/>
        </w:rPr>
        <w:t>% от общего объема бюджетных ассигнований округа</w:t>
      </w:r>
      <w:r>
        <w:rPr>
          <w:sz w:val="28"/>
          <w:szCs w:val="28"/>
        </w:rPr>
        <w:t xml:space="preserve"> </w:t>
      </w:r>
      <w:r w:rsidRPr="007860C0">
        <w:rPr>
          <w:sz w:val="28"/>
          <w:szCs w:val="28"/>
        </w:rPr>
        <w:t>(</w:t>
      </w:r>
      <w:r>
        <w:rPr>
          <w:sz w:val="28"/>
          <w:szCs w:val="28"/>
        </w:rPr>
        <w:t xml:space="preserve">8 981 695,4 </w:t>
      </w:r>
      <w:r w:rsidRPr="007860C0">
        <w:rPr>
          <w:sz w:val="28"/>
          <w:szCs w:val="28"/>
        </w:rPr>
        <w:t xml:space="preserve">тыс. рублей). </w:t>
      </w:r>
    </w:p>
    <w:bookmarkEnd w:id="0"/>
    <w:p w14:paraId="30191137" w14:textId="77777777" w:rsidR="005D7CD6" w:rsidRPr="00A71B58" w:rsidRDefault="005D7CD6" w:rsidP="005D7CD6">
      <w:pPr>
        <w:ind w:firstLine="567"/>
        <w:jc w:val="both"/>
        <w:rPr>
          <w:bCs/>
          <w:sz w:val="28"/>
          <w:szCs w:val="28"/>
        </w:rPr>
      </w:pPr>
      <w:r w:rsidRPr="00A71B58">
        <w:rPr>
          <w:bCs/>
          <w:sz w:val="28"/>
          <w:szCs w:val="28"/>
        </w:rPr>
        <w:t xml:space="preserve">Бюджетные ассигнования распределены между </w:t>
      </w:r>
      <w:r>
        <w:rPr>
          <w:bCs/>
          <w:sz w:val="28"/>
          <w:szCs w:val="28"/>
        </w:rPr>
        <w:t>четырьмя</w:t>
      </w:r>
      <w:r w:rsidRPr="00A71B58">
        <w:rPr>
          <w:bCs/>
          <w:sz w:val="28"/>
          <w:szCs w:val="28"/>
        </w:rPr>
        <w:t xml:space="preserve"> главными распорядителями бюджетных средств и предусмотрены структурными элементами (основными мероприятиями) в рамках </w:t>
      </w:r>
      <w:r>
        <w:rPr>
          <w:bCs/>
          <w:sz w:val="28"/>
          <w:szCs w:val="28"/>
        </w:rPr>
        <w:t>шести</w:t>
      </w:r>
      <w:r w:rsidRPr="00A71B58">
        <w:rPr>
          <w:bCs/>
          <w:sz w:val="28"/>
          <w:szCs w:val="28"/>
        </w:rPr>
        <w:t xml:space="preserve"> муниципальных программ Златоустовского городского округа.</w:t>
      </w:r>
    </w:p>
    <w:p w14:paraId="4CB640EC" w14:textId="77777777" w:rsidR="005D7CD6" w:rsidRDefault="005D7CD6" w:rsidP="005D7CD6">
      <w:pPr>
        <w:ind w:firstLine="567"/>
        <w:jc w:val="right"/>
        <w:rPr>
          <w:bCs/>
        </w:rPr>
      </w:pPr>
      <w:r w:rsidRPr="00EF2BA1">
        <w:rPr>
          <w:bCs/>
        </w:rPr>
        <w:t>Таблица №1</w:t>
      </w:r>
    </w:p>
    <w:p w14:paraId="06E584B1" w14:textId="77777777" w:rsidR="005D7CD6" w:rsidRPr="00EF2BA1" w:rsidRDefault="005D7CD6" w:rsidP="005D7CD6">
      <w:pPr>
        <w:ind w:firstLine="567"/>
        <w:jc w:val="right"/>
        <w:rPr>
          <w:bCs/>
        </w:rPr>
      </w:pPr>
      <w:r>
        <w:rPr>
          <w:bCs/>
        </w:rPr>
        <w:t>Ед. измерения: тыс. рублей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1985"/>
        <w:gridCol w:w="1274"/>
      </w:tblGrid>
      <w:tr w:rsidR="005D7CD6" w:rsidRPr="00C631BB" w14:paraId="5A6D58DF" w14:textId="77777777" w:rsidTr="00BB23F6">
        <w:trPr>
          <w:trHeight w:val="372"/>
          <w:tblHeader/>
        </w:trPr>
        <w:tc>
          <w:tcPr>
            <w:tcW w:w="882" w:type="pct"/>
            <w:vAlign w:val="center"/>
          </w:tcPr>
          <w:p w14:paraId="2E201D72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Национальный проект</w:t>
            </w:r>
          </w:p>
        </w:tc>
        <w:tc>
          <w:tcPr>
            <w:tcW w:w="2427" w:type="pct"/>
            <w:vAlign w:val="center"/>
          </w:tcPr>
          <w:p w14:paraId="21165929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Региональный проект</w:t>
            </w:r>
          </w:p>
        </w:tc>
        <w:tc>
          <w:tcPr>
            <w:tcW w:w="1030" w:type="pct"/>
            <w:vAlign w:val="center"/>
          </w:tcPr>
          <w:p w14:paraId="71673CF4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Главный распорядитель бюджетных средств</w:t>
            </w:r>
          </w:p>
        </w:tc>
        <w:tc>
          <w:tcPr>
            <w:tcW w:w="661" w:type="pct"/>
          </w:tcPr>
          <w:p w14:paraId="209A4C49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План 2025г.</w:t>
            </w:r>
          </w:p>
        </w:tc>
      </w:tr>
      <w:tr w:rsidR="005D7CD6" w:rsidRPr="00C631BB" w14:paraId="56E48B4C" w14:textId="77777777" w:rsidTr="00BB23F6">
        <w:trPr>
          <w:trHeight w:val="70"/>
        </w:trPr>
        <w:tc>
          <w:tcPr>
            <w:tcW w:w="882" w:type="pct"/>
            <w:vMerge w:val="restart"/>
            <w:vAlign w:val="center"/>
          </w:tcPr>
          <w:p w14:paraId="2FF74060" w14:textId="77777777" w:rsidR="005D7CD6" w:rsidRPr="00C631BB" w:rsidRDefault="005D7CD6" w:rsidP="00BB23F6">
            <w:pPr>
              <w:ind w:firstLine="37"/>
            </w:pPr>
            <w:r w:rsidRPr="00C631BB">
              <w:t>Молодежь и дети России</w:t>
            </w:r>
          </w:p>
          <w:p w14:paraId="3B6D62CA" w14:textId="77777777" w:rsidR="005D7CD6" w:rsidRPr="00C631BB" w:rsidRDefault="005D7CD6" w:rsidP="00BB23F6">
            <w:pPr>
              <w:ind w:firstLine="37"/>
            </w:pPr>
          </w:p>
        </w:tc>
        <w:tc>
          <w:tcPr>
            <w:tcW w:w="2427" w:type="pct"/>
            <w:vAlign w:val="center"/>
          </w:tcPr>
          <w:p w14:paraId="6E73B6E6" w14:textId="77777777" w:rsidR="005D7CD6" w:rsidRPr="00C631BB" w:rsidRDefault="005D7CD6" w:rsidP="00BB23F6">
            <w:pPr>
              <w:ind w:firstLine="37"/>
            </w:pPr>
            <w:r w:rsidRPr="00C631BB">
              <w:t>«Все лучшее детям»</w:t>
            </w:r>
          </w:p>
        </w:tc>
        <w:tc>
          <w:tcPr>
            <w:tcW w:w="1030" w:type="pct"/>
            <w:vMerge w:val="restart"/>
            <w:vAlign w:val="center"/>
          </w:tcPr>
          <w:p w14:paraId="683C7563" w14:textId="77777777" w:rsidR="005D7CD6" w:rsidRPr="00C631BB" w:rsidRDefault="005D7CD6" w:rsidP="00BB23F6">
            <w:pPr>
              <w:ind w:firstLine="37"/>
              <w:jc w:val="center"/>
            </w:pPr>
            <w:bookmarkStart w:id="1" w:name="_Hlk197334209"/>
            <w:r w:rsidRPr="00C631BB">
              <w:t>Управление образования и молодежной политики ЗГО</w:t>
            </w:r>
            <w:bookmarkEnd w:id="1"/>
          </w:p>
        </w:tc>
        <w:tc>
          <w:tcPr>
            <w:tcW w:w="661" w:type="pct"/>
            <w:vAlign w:val="center"/>
          </w:tcPr>
          <w:p w14:paraId="72703D17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2</w:t>
            </w:r>
            <w:r>
              <w:t> 068,4</w:t>
            </w:r>
          </w:p>
        </w:tc>
      </w:tr>
      <w:tr w:rsidR="005D7CD6" w:rsidRPr="00C631BB" w14:paraId="6A01F46E" w14:textId="77777777" w:rsidTr="00BB23F6">
        <w:trPr>
          <w:trHeight w:val="91"/>
        </w:trPr>
        <w:tc>
          <w:tcPr>
            <w:tcW w:w="882" w:type="pct"/>
            <w:vMerge/>
            <w:vAlign w:val="center"/>
          </w:tcPr>
          <w:p w14:paraId="18C0CAD6" w14:textId="77777777" w:rsidR="005D7CD6" w:rsidRPr="00C631BB" w:rsidRDefault="005D7CD6" w:rsidP="00BB23F6">
            <w:pPr>
              <w:ind w:firstLine="37"/>
            </w:pPr>
          </w:p>
        </w:tc>
        <w:tc>
          <w:tcPr>
            <w:tcW w:w="2427" w:type="pct"/>
          </w:tcPr>
          <w:p w14:paraId="3732409F" w14:textId="77777777" w:rsidR="005D7CD6" w:rsidRPr="00C631BB" w:rsidRDefault="005D7CD6" w:rsidP="00BB23F6">
            <w:pPr>
              <w:ind w:firstLine="37"/>
            </w:pPr>
            <w:r w:rsidRPr="00C631BB">
              <w:t>«Педагоги и наставники»</w:t>
            </w:r>
          </w:p>
        </w:tc>
        <w:tc>
          <w:tcPr>
            <w:tcW w:w="1030" w:type="pct"/>
            <w:vMerge/>
            <w:vAlign w:val="center"/>
          </w:tcPr>
          <w:p w14:paraId="1DE5D52D" w14:textId="77777777" w:rsidR="005D7CD6" w:rsidRPr="00C631BB" w:rsidRDefault="005D7CD6" w:rsidP="00BB23F6">
            <w:pPr>
              <w:ind w:firstLine="37"/>
              <w:jc w:val="center"/>
            </w:pPr>
          </w:p>
        </w:tc>
        <w:tc>
          <w:tcPr>
            <w:tcW w:w="661" w:type="pct"/>
            <w:vAlign w:val="center"/>
          </w:tcPr>
          <w:p w14:paraId="152FE8C8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79 088,2</w:t>
            </w:r>
          </w:p>
        </w:tc>
      </w:tr>
      <w:tr w:rsidR="005D7CD6" w:rsidRPr="00C631BB" w14:paraId="2328FC1C" w14:textId="77777777" w:rsidTr="00BB23F6">
        <w:trPr>
          <w:trHeight w:val="166"/>
        </w:trPr>
        <w:tc>
          <w:tcPr>
            <w:tcW w:w="882" w:type="pct"/>
            <w:vMerge/>
            <w:vAlign w:val="center"/>
          </w:tcPr>
          <w:p w14:paraId="680B0D81" w14:textId="77777777" w:rsidR="005D7CD6" w:rsidRPr="00C631BB" w:rsidRDefault="005D7CD6" w:rsidP="00BB23F6">
            <w:pPr>
              <w:ind w:firstLine="37"/>
            </w:pPr>
          </w:p>
        </w:tc>
        <w:tc>
          <w:tcPr>
            <w:tcW w:w="2427" w:type="pct"/>
          </w:tcPr>
          <w:p w14:paraId="0B11FD23" w14:textId="77777777" w:rsidR="005D7CD6" w:rsidRPr="00C631BB" w:rsidRDefault="005D7CD6" w:rsidP="00BB23F6">
            <w:pPr>
              <w:ind w:firstLine="37"/>
            </w:pPr>
            <w:r w:rsidRPr="00C631BB">
              <w:t>«Россия – страна возможностей»</w:t>
            </w:r>
          </w:p>
        </w:tc>
        <w:tc>
          <w:tcPr>
            <w:tcW w:w="1030" w:type="pct"/>
            <w:vMerge/>
            <w:vAlign w:val="center"/>
          </w:tcPr>
          <w:p w14:paraId="4C28D113" w14:textId="77777777" w:rsidR="005D7CD6" w:rsidRPr="00C631BB" w:rsidRDefault="005D7CD6" w:rsidP="00BB23F6">
            <w:pPr>
              <w:ind w:firstLine="37"/>
              <w:jc w:val="center"/>
            </w:pPr>
          </w:p>
        </w:tc>
        <w:tc>
          <w:tcPr>
            <w:tcW w:w="661" w:type="pct"/>
            <w:vAlign w:val="center"/>
          </w:tcPr>
          <w:p w14:paraId="54E9A9EE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2 000,0</w:t>
            </w:r>
          </w:p>
        </w:tc>
      </w:tr>
      <w:tr w:rsidR="005D7CD6" w:rsidRPr="00C631BB" w14:paraId="112A16CF" w14:textId="77777777" w:rsidTr="00BB23F6">
        <w:trPr>
          <w:trHeight w:val="60"/>
        </w:trPr>
        <w:tc>
          <w:tcPr>
            <w:tcW w:w="882" w:type="pct"/>
            <w:vMerge/>
            <w:vAlign w:val="center"/>
          </w:tcPr>
          <w:p w14:paraId="765C802E" w14:textId="77777777" w:rsidR="005D7CD6" w:rsidRPr="00C631BB" w:rsidRDefault="005D7CD6" w:rsidP="00BB23F6">
            <w:pPr>
              <w:ind w:firstLine="37"/>
            </w:pPr>
          </w:p>
        </w:tc>
        <w:tc>
          <w:tcPr>
            <w:tcW w:w="2427" w:type="pct"/>
          </w:tcPr>
          <w:p w14:paraId="55AE65E3" w14:textId="77777777" w:rsidR="005D7CD6" w:rsidRPr="00C631BB" w:rsidRDefault="005D7CD6" w:rsidP="00BB23F6">
            <w:pPr>
              <w:ind w:firstLine="37"/>
            </w:pPr>
            <w:r w:rsidRPr="00C631BB">
              <w:t>«Мы вместе (Воспитание гармонично развитой личности)»</w:t>
            </w:r>
          </w:p>
        </w:tc>
        <w:tc>
          <w:tcPr>
            <w:tcW w:w="1030" w:type="pct"/>
            <w:vMerge/>
            <w:vAlign w:val="center"/>
          </w:tcPr>
          <w:p w14:paraId="1E879500" w14:textId="77777777" w:rsidR="005D7CD6" w:rsidRPr="00C631BB" w:rsidRDefault="005D7CD6" w:rsidP="00BB23F6">
            <w:pPr>
              <w:ind w:firstLine="37"/>
              <w:jc w:val="center"/>
            </w:pPr>
          </w:p>
        </w:tc>
        <w:tc>
          <w:tcPr>
            <w:tcW w:w="661" w:type="pct"/>
            <w:vAlign w:val="center"/>
          </w:tcPr>
          <w:p w14:paraId="526BEB2E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421,0</w:t>
            </w:r>
          </w:p>
        </w:tc>
      </w:tr>
      <w:tr w:rsidR="005D7CD6" w:rsidRPr="00C631BB" w14:paraId="1DF516B4" w14:textId="77777777" w:rsidTr="00BB23F6">
        <w:trPr>
          <w:trHeight w:val="118"/>
        </w:trPr>
        <w:tc>
          <w:tcPr>
            <w:tcW w:w="882" w:type="pct"/>
            <w:vMerge w:val="restart"/>
            <w:vAlign w:val="center"/>
          </w:tcPr>
          <w:p w14:paraId="16B9C789" w14:textId="77777777" w:rsidR="005D7CD6" w:rsidRPr="00C631BB" w:rsidRDefault="005D7CD6" w:rsidP="00BB23F6">
            <w:pPr>
              <w:ind w:firstLine="37"/>
            </w:pPr>
            <w:r w:rsidRPr="00C631BB">
              <w:t>Семья</w:t>
            </w:r>
          </w:p>
        </w:tc>
        <w:tc>
          <w:tcPr>
            <w:tcW w:w="2427" w:type="pct"/>
          </w:tcPr>
          <w:p w14:paraId="70289F6B" w14:textId="77777777" w:rsidR="005D7CD6" w:rsidRPr="00C631BB" w:rsidRDefault="005D7CD6" w:rsidP="00BB23F6">
            <w:pPr>
              <w:ind w:firstLine="37"/>
            </w:pPr>
            <w:r w:rsidRPr="00C631BB">
              <w:t>«Семейные ценности и инфраструктура культуры»</w:t>
            </w:r>
          </w:p>
        </w:tc>
        <w:tc>
          <w:tcPr>
            <w:tcW w:w="1030" w:type="pct"/>
            <w:vAlign w:val="center"/>
          </w:tcPr>
          <w:p w14:paraId="6178C51A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Управление культуры ЗГО</w:t>
            </w:r>
          </w:p>
        </w:tc>
        <w:tc>
          <w:tcPr>
            <w:tcW w:w="661" w:type="pct"/>
            <w:vAlign w:val="center"/>
          </w:tcPr>
          <w:p w14:paraId="712E72C0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8 421,1</w:t>
            </w:r>
          </w:p>
        </w:tc>
      </w:tr>
      <w:tr w:rsidR="005D7CD6" w:rsidRPr="00C631BB" w14:paraId="730C2529" w14:textId="77777777" w:rsidTr="00BB23F6">
        <w:trPr>
          <w:trHeight w:val="70"/>
        </w:trPr>
        <w:tc>
          <w:tcPr>
            <w:tcW w:w="882" w:type="pct"/>
            <w:vMerge/>
            <w:vAlign w:val="center"/>
          </w:tcPr>
          <w:p w14:paraId="5E74C10B" w14:textId="77777777" w:rsidR="005D7CD6" w:rsidRPr="00C631BB" w:rsidRDefault="005D7CD6" w:rsidP="00BB23F6">
            <w:pPr>
              <w:ind w:firstLine="37"/>
            </w:pPr>
          </w:p>
        </w:tc>
        <w:tc>
          <w:tcPr>
            <w:tcW w:w="2427" w:type="pct"/>
          </w:tcPr>
          <w:p w14:paraId="401EB20A" w14:textId="77777777" w:rsidR="005D7CD6" w:rsidRPr="00C631BB" w:rsidRDefault="005D7CD6" w:rsidP="00BB23F6">
            <w:pPr>
              <w:ind w:firstLine="37"/>
            </w:pPr>
            <w:r w:rsidRPr="00C631BB">
              <w:t>«Старшее поколение»</w:t>
            </w:r>
          </w:p>
        </w:tc>
        <w:tc>
          <w:tcPr>
            <w:tcW w:w="1030" w:type="pct"/>
            <w:vAlign w:val="center"/>
          </w:tcPr>
          <w:p w14:paraId="74A10AD0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Управление социальной защиты населения ЗГО</w:t>
            </w:r>
          </w:p>
        </w:tc>
        <w:tc>
          <w:tcPr>
            <w:tcW w:w="661" w:type="pct"/>
            <w:vAlign w:val="center"/>
          </w:tcPr>
          <w:p w14:paraId="6128BDF4" w14:textId="77777777" w:rsidR="005D7CD6" w:rsidRPr="00C631BB" w:rsidRDefault="005D7CD6" w:rsidP="00BB23F6">
            <w:pPr>
              <w:ind w:firstLine="37"/>
              <w:jc w:val="center"/>
            </w:pPr>
            <w:r w:rsidRPr="00C631BB">
              <w:t>16 143,3</w:t>
            </w:r>
          </w:p>
        </w:tc>
      </w:tr>
      <w:tr w:rsidR="005D7CD6" w:rsidRPr="00C631BB" w14:paraId="7B50A033" w14:textId="77777777" w:rsidTr="00BB23F6">
        <w:trPr>
          <w:trHeight w:val="225"/>
        </w:trPr>
        <w:tc>
          <w:tcPr>
            <w:tcW w:w="882" w:type="pct"/>
            <w:vMerge w:val="restart"/>
            <w:vAlign w:val="center"/>
          </w:tcPr>
          <w:p w14:paraId="33FA88D6" w14:textId="77777777" w:rsidR="005D7CD6" w:rsidRPr="00C631BB" w:rsidRDefault="005D7CD6" w:rsidP="00BB23F6">
            <w:pPr>
              <w:autoSpaceDE w:val="0"/>
              <w:autoSpaceDN w:val="0"/>
              <w:adjustRightInd w:val="0"/>
            </w:pPr>
            <w:r w:rsidRPr="00C631BB">
              <w:t>Инфраструктура для жизни</w:t>
            </w:r>
          </w:p>
        </w:tc>
        <w:tc>
          <w:tcPr>
            <w:tcW w:w="2427" w:type="pct"/>
          </w:tcPr>
          <w:p w14:paraId="2D6045CC" w14:textId="77777777" w:rsidR="005D7CD6" w:rsidRPr="00C631BB" w:rsidRDefault="005D7CD6" w:rsidP="00BB23F6">
            <w:r w:rsidRPr="00C631BB">
              <w:t>«Модернизация коммунальной инфраструктуры»</w:t>
            </w:r>
          </w:p>
        </w:tc>
        <w:tc>
          <w:tcPr>
            <w:tcW w:w="1030" w:type="pct"/>
            <w:vMerge w:val="restart"/>
            <w:vAlign w:val="center"/>
          </w:tcPr>
          <w:p w14:paraId="61626498" w14:textId="77777777" w:rsidR="005D7CD6" w:rsidRPr="00C631BB" w:rsidRDefault="005D7CD6" w:rsidP="00BB23F6">
            <w:pPr>
              <w:jc w:val="center"/>
            </w:pPr>
            <w:r w:rsidRPr="00C631BB">
              <w:t>Управление жилищно-коммунального хозяйства</w:t>
            </w:r>
          </w:p>
        </w:tc>
        <w:tc>
          <w:tcPr>
            <w:tcW w:w="661" w:type="pct"/>
            <w:vAlign w:val="center"/>
          </w:tcPr>
          <w:p w14:paraId="16BA11FC" w14:textId="77777777" w:rsidR="005D7CD6" w:rsidRPr="00C631BB" w:rsidRDefault="005D7CD6" w:rsidP="00BB23F6">
            <w:pPr>
              <w:jc w:val="center"/>
            </w:pPr>
            <w:r>
              <w:t>124 000,0</w:t>
            </w:r>
          </w:p>
        </w:tc>
      </w:tr>
      <w:tr w:rsidR="005D7CD6" w:rsidRPr="00C631BB" w14:paraId="58793288" w14:textId="77777777" w:rsidTr="00BB23F6">
        <w:trPr>
          <w:trHeight w:val="225"/>
        </w:trPr>
        <w:tc>
          <w:tcPr>
            <w:tcW w:w="882" w:type="pct"/>
            <w:vMerge/>
            <w:vAlign w:val="center"/>
          </w:tcPr>
          <w:p w14:paraId="5F1EB272" w14:textId="77777777" w:rsidR="005D7CD6" w:rsidRPr="00C631BB" w:rsidRDefault="005D7CD6" w:rsidP="00BB23F6">
            <w:pPr>
              <w:autoSpaceDE w:val="0"/>
              <w:autoSpaceDN w:val="0"/>
              <w:adjustRightInd w:val="0"/>
            </w:pPr>
          </w:p>
        </w:tc>
        <w:tc>
          <w:tcPr>
            <w:tcW w:w="2427" w:type="pct"/>
          </w:tcPr>
          <w:p w14:paraId="37B0AB3D" w14:textId="77777777" w:rsidR="005D7CD6" w:rsidRPr="00C631BB" w:rsidRDefault="005D7CD6" w:rsidP="00BB23F6">
            <w:r w:rsidRPr="00C631BB">
              <w:t>«Формирование комфортной городской среды»</w:t>
            </w:r>
          </w:p>
        </w:tc>
        <w:tc>
          <w:tcPr>
            <w:tcW w:w="1030" w:type="pct"/>
            <w:vMerge/>
            <w:vAlign w:val="center"/>
          </w:tcPr>
          <w:p w14:paraId="0FA60540" w14:textId="77777777" w:rsidR="005D7CD6" w:rsidRPr="00C631BB" w:rsidRDefault="005D7CD6" w:rsidP="00BB23F6"/>
        </w:tc>
        <w:tc>
          <w:tcPr>
            <w:tcW w:w="661" w:type="pct"/>
            <w:vAlign w:val="center"/>
          </w:tcPr>
          <w:p w14:paraId="6F2423AA" w14:textId="77777777" w:rsidR="005D7CD6" w:rsidRPr="00C631BB" w:rsidRDefault="005D7CD6" w:rsidP="00BB23F6">
            <w:pPr>
              <w:jc w:val="center"/>
            </w:pPr>
            <w:r w:rsidRPr="00C631BB">
              <w:t>81 810,9</w:t>
            </w:r>
          </w:p>
        </w:tc>
      </w:tr>
      <w:tr w:rsidR="005D7CD6" w:rsidRPr="00C631BB" w14:paraId="731A6DC7" w14:textId="77777777" w:rsidTr="00BB23F6">
        <w:trPr>
          <w:trHeight w:val="225"/>
        </w:trPr>
        <w:tc>
          <w:tcPr>
            <w:tcW w:w="882" w:type="pct"/>
            <w:vAlign w:val="center"/>
          </w:tcPr>
          <w:p w14:paraId="3C947C53" w14:textId="77777777" w:rsidR="005D7CD6" w:rsidRPr="00C631BB" w:rsidRDefault="005D7CD6" w:rsidP="00BB23F6">
            <w:pPr>
              <w:autoSpaceDE w:val="0"/>
              <w:autoSpaceDN w:val="0"/>
              <w:adjustRightInd w:val="0"/>
            </w:pPr>
            <w:r w:rsidRPr="00C631BB">
              <w:t>Экологическое благополучие</w:t>
            </w:r>
          </w:p>
        </w:tc>
        <w:tc>
          <w:tcPr>
            <w:tcW w:w="2427" w:type="pct"/>
            <w:vAlign w:val="center"/>
          </w:tcPr>
          <w:p w14:paraId="27724BBA" w14:textId="77777777" w:rsidR="005D7CD6" w:rsidRPr="00C631BB" w:rsidRDefault="005D7CD6" w:rsidP="00BB23F6">
            <w:r w:rsidRPr="00C631BB">
              <w:t>«Экономика замкнутого цикла (Челябинская область)»</w:t>
            </w:r>
          </w:p>
        </w:tc>
        <w:tc>
          <w:tcPr>
            <w:tcW w:w="1030" w:type="pct"/>
            <w:vMerge/>
            <w:vAlign w:val="center"/>
          </w:tcPr>
          <w:p w14:paraId="66CFF4A9" w14:textId="77777777" w:rsidR="005D7CD6" w:rsidRPr="00C631BB" w:rsidRDefault="005D7CD6" w:rsidP="00BB23F6"/>
        </w:tc>
        <w:tc>
          <w:tcPr>
            <w:tcW w:w="661" w:type="pct"/>
            <w:vAlign w:val="center"/>
          </w:tcPr>
          <w:p w14:paraId="52E9EC48" w14:textId="77777777" w:rsidR="005D7CD6" w:rsidRPr="00C631BB" w:rsidRDefault="005D7CD6" w:rsidP="00BB23F6">
            <w:pPr>
              <w:jc w:val="center"/>
            </w:pPr>
            <w:r w:rsidRPr="00C631BB">
              <w:t>11 727,2</w:t>
            </w:r>
          </w:p>
        </w:tc>
      </w:tr>
      <w:tr w:rsidR="005D7CD6" w:rsidRPr="00C631BB" w14:paraId="22BCB8A2" w14:textId="77777777" w:rsidTr="00BB23F6">
        <w:trPr>
          <w:trHeight w:val="89"/>
        </w:trPr>
        <w:tc>
          <w:tcPr>
            <w:tcW w:w="4339" w:type="pct"/>
            <w:gridSpan w:val="3"/>
            <w:vAlign w:val="center"/>
          </w:tcPr>
          <w:p w14:paraId="57F27383" w14:textId="77777777" w:rsidR="005D7CD6" w:rsidRPr="00C631BB" w:rsidRDefault="005D7CD6" w:rsidP="00BB23F6">
            <w:pPr>
              <w:jc w:val="right"/>
              <w:rPr>
                <w:b/>
                <w:bCs/>
              </w:rPr>
            </w:pPr>
            <w:r w:rsidRPr="00C631BB">
              <w:rPr>
                <w:b/>
                <w:bCs/>
              </w:rPr>
              <w:t>Итого</w:t>
            </w:r>
          </w:p>
        </w:tc>
        <w:tc>
          <w:tcPr>
            <w:tcW w:w="661" w:type="pct"/>
            <w:vAlign w:val="center"/>
          </w:tcPr>
          <w:p w14:paraId="0B464B20" w14:textId="77777777" w:rsidR="005D7CD6" w:rsidRPr="00C631BB" w:rsidRDefault="005D7CD6" w:rsidP="00BB2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325 680,0</w:t>
            </w:r>
          </w:p>
        </w:tc>
      </w:tr>
    </w:tbl>
    <w:p w14:paraId="3D03E68F" w14:textId="77777777" w:rsidR="005D7CD6" w:rsidRPr="009029B1" w:rsidRDefault="005D7CD6" w:rsidP="005D7CD6">
      <w:pPr>
        <w:jc w:val="both"/>
        <w:rPr>
          <w:bCs/>
          <w:sz w:val="16"/>
          <w:szCs w:val="16"/>
        </w:rPr>
      </w:pPr>
    </w:p>
    <w:p w14:paraId="59B0CF45" w14:textId="77777777" w:rsidR="005D7CD6" w:rsidRDefault="005D7CD6" w:rsidP="005D7CD6">
      <w:pPr>
        <w:ind w:firstLine="567"/>
        <w:jc w:val="both"/>
        <w:rPr>
          <w:sz w:val="28"/>
          <w:szCs w:val="28"/>
        </w:rPr>
      </w:pPr>
      <w:r w:rsidRPr="00276F85">
        <w:rPr>
          <w:sz w:val="28"/>
          <w:szCs w:val="28"/>
        </w:rPr>
        <w:lastRenderedPageBreak/>
        <w:t>В структуре главных распорядителей бюджетных средств наибольшая доля бюджетных расходов запланирована Управлени</w:t>
      </w:r>
      <w:r>
        <w:rPr>
          <w:sz w:val="28"/>
          <w:szCs w:val="28"/>
        </w:rPr>
        <w:t>ю</w:t>
      </w:r>
      <w:r w:rsidRPr="00276F85">
        <w:rPr>
          <w:sz w:val="28"/>
          <w:szCs w:val="28"/>
        </w:rPr>
        <w:t xml:space="preserve"> жилищно-коммунального хозяйства – </w:t>
      </w:r>
      <w:r>
        <w:rPr>
          <w:sz w:val="28"/>
          <w:szCs w:val="28"/>
        </w:rPr>
        <w:t>66,8</w:t>
      </w:r>
      <w:r w:rsidRPr="00276F85">
        <w:rPr>
          <w:sz w:val="28"/>
          <w:szCs w:val="28"/>
        </w:rPr>
        <w:t>%</w:t>
      </w:r>
      <w:r>
        <w:rPr>
          <w:sz w:val="28"/>
          <w:szCs w:val="28"/>
        </w:rPr>
        <w:t xml:space="preserve"> и</w:t>
      </w:r>
      <w:r w:rsidRPr="00276F85">
        <w:rPr>
          <w:sz w:val="28"/>
          <w:szCs w:val="28"/>
        </w:rPr>
        <w:t xml:space="preserve"> </w:t>
      </w:r>
      <w:r w:rsidRPr="00095625">
        <w:rPr>
          <w:sz w:val="28"/>
          <w:szCs w:val="28"/>
        </w:rPr>
        <w:t>Управлени</w:t>
      </w:r>
      <w:r>
        <w:rPr>
          <w:sz w:val="28"/>
          <w:szCs w:val="28"/>
        </w:rPr>
        <w:t xml:space="preserve">ю </w:t>
      </w:r>
      <w:r w:rsidRPr="00095625">
        <w:rPr>
          <w:sz w:val="28"/>
          <w:szCs w:val="28"/>
        </w:rPr>
        <w:t xml:space="preserve">образования и молодежной политики ЗГО </w:t>
      </w:r>
      <w:r w:rsidRPr="00276F85">
        <w:rPr>
          <w:sz w:val="28"/>
          <w:szCs w:val="28"/>
        </w:rPr>
        <w:t xml:space="preserve">– </w:t>
      </w:r>
      <w:r>
        <w:rPr>
          <w:sz w:val="28"/>
          <w:szCs w:val="28"/>
        </w:rPr>
        <w:t>25,7</w:t>
      </w:r>
      <w:r w:rsidRPr="00276F85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6E882DF6" w14:textId="77777777" w:rsidR="007B5443" w:rsidRPr="000C5BD4" w:rsidRDefault="00D208AA" w:rsidP="007B544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bookmarkStart w:id="2" w:name="_Hlk198311974"/>
      <w:r w:rsidR="007B5443" w:rsidRPr="000C5BD4">
        <w:rPr>
          <w:noProof/>
          <w:sz w:val="28"/>
          <w:szCs w:val="28"/>
        </w:rPr>
        <w:t xml:space="preserve">Наибольшая </w:t>
      </w:r>
      <w:r w:rsidR="007B5443" w:rsidRPr="000C5BD4">
        <w:rPr>
          <w:sz w:val="28"/>
          <w:szCs w:val="28"/>
        </w:rPr>
        <w:t>доля заплан</w:t>
      </w:r>
      <w:r w:rsidR="007B5443" w:rsidRPr="000C5BD4">
        <w:rPr>
          <w:sz w:val="28"/>
          <w:szCs w:val="28"/>
        </w:rPr>
        <w:t>и</w:t>
      </w:r>
      <w:r w:rsidR="007B5443" w:rsidRPr="000C5BD4">
        <w:rPr>
          <w:sz w:val="28"/>
          <w:szCs w:val="28"/>
        </w:rPr>
        <w:t>рованных бюджетных расходов приходится на реализацию региональных проектов:</w:t>
      </w:r>
    </w:p>
    <w:p w14:paraId="79583046" w14:textId="77777777" w:rsidR="007B5443" w:rsidRPr="000C5BD4" w:rsidRDefault="007B5443" w:rsidP="007B5443">
      <w:pPr>
        <w:ind w:firstLine="567"/>
        <w:jc w:val="both"/>
        <w:rPr>
          <w:sz w:val="28"/>
          <w:szCs w:val="28"/>
        </w:rPr>
      </w:pPr>
      <w:r w:rsidRPr="000C5BD4">
        <w:rPr>
          <w:sz w:val="28"/>
          <w:szCs w:val="28"/>
        </w:rPr>
        <w:t xml:space="preserve">- «Модернизация коммунальной инфраструктуры» - </w:t>
      </w:r>
      <w:r>
        <w:rPr>
          <w:sz w:val="28"/>
          <w:szCs w:val="28"/>
        </w:rPr>
        <w:t>38,1</w:t>
      </w:r>
      <w:r w:rsidRPr="000C5BD4">
        <w:rPr>
          <w:sz w:val="28"/>
          <w:szCs w:val="28"/>
        </w:rPr>
        <w:t>%;</w:t>
      </w:r>
    </w:p>
    <w:p w14:paraId="4740DBA6" w14:textId="77777777" w:rsidR="007B5443" w:rsidRPr="000C5BD4" w:rsidRDefault="007B5443" w:rsidP="007B544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BD4">
        <w:rPr>
          <w:rFonts w:ascii="Times New Roman" w:hAnsi="Times New Roman" w:cs="Times New Roman"/>
          <w:sz w:val="28"/>
          <w:szCs w:val="28"/>
        </w:rPr>
        <w:t>- «Формирование комфортной городской среды» - 25,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C5BD4">
        <w:rPr>
          <w:rFonts w:ascii="Times New Roman" w:hAnsi="Times New Roman" w:cs="Times New Roman"/>
          <w:sz w:val="28"/>
          <w:szCs w:val="28"/>
        </w:rPr>
        <w:t>%;</w:t>
      </w:r>
    </w:p>
    <w:p w14:paraId="1E3750A4" w14:textId="77777777" w:rsidR="007B5443" w:rsidRPr="005522CC" w:rsidRDefault="007B5443" w:rsidP="007B544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BD4">
        <w:rPr>
          <w:rFonts w:ascii="Times New Roman" w:hAnsi="Times New Roman" w:cs="Times New Roman"/>
          <w:sz w:val="28"/>
          <w:szCs w:val="28"/>
        </w:rPr>
        <w:t xml:space="preserve">- </w:t>
      </w:r>
      <w:r w:rsidRPr="000C5BD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C5BD4">
        <w:rPr>
          <w:rFonts w:ascii="Times New Roman" w:hAnsi="Times New Roman" w:cs="Times New Roman"/>
          <w:sz w:val="28"/>
          <w:szCs w:val="28"/>
        </w:rPr>
        <w:t>Педагоги и наставники»</w:t>
      </w:r>
      <w:r>
        <w:rPr>
          <w:rFonts w:ascii="Times New Roman" w:hAnsi="Times New Roman" w:cs="Times New Roman"/>
          <w:sz w:val="28"/>
          <w:szCs w:val="28"/>
        </w:rPr>
        <w:t xml:space="preserve"> - 24,3%.</w:t>
      </w:r>
    </w:p>
    <w:p w14:paraId="4B1D552E" w14:textId="77777777" w:rsidR="007B5443" w:rsidRDefault="007B5443" w:rsidP="007B5443">
      <w:pPr>
        <w:ind w:firstLine="567"/>
        <w:jc w:val="both"/>
        <w:rPr>
          <w:color w:val="000000"/>
          <w:sz w:val="28"/>
          <w:szCs w:val="28"/>
        </w:rPr>
      </w:pPr>
      <w:r w:rsidRPr="000C5BD4">
        <w:rPr>
          <w:color w:val="000000"/>
          <w:sz w:val="28"/>
          <w:szCs w:val="28"/>
        </w:rPr>
        <w:t xml:space="preserve">По итогам </w:t>
      </w:r>
      <w:r>
        <w:rPr>
          <w:color w:val="000000"/>
          <w:sz w:val="28"/>
          <w:szCs w:val="28"/>
        </w:rPr>
        <w:t>9 месяцев</w:t>
      </w:r>
      <w:r w:rsidRPr="000C5BD4">
        <w:rPr>
          <w:color w:val="000000"/>
          <w:sz w:val="28"/>
          <w:szCs w:val="28"/>
        </w:rPr>
        <w:t xml:space="preserve"> 2025г. бюджетные расходы запланированы за счет следующих источников финансирования</w:t>
      </w:r>
      <w:r>
        <w:rPr>
          <w:color w:val="000000"/>
          <w:sz w:val="28"/>
          <w:szCs w:val="28"/>
        </w:rPr>
        <w:t>:</w:t>
      </w:r>
    </w:p>
    <w:p w14:paraId="3F59A8FE" w14:textId="77777777" w:rsidR="007B5443" w:rsidRDefault="007B5443" w:rsidP="007B544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средства федерального бюджета – 224 827,2 тыс. рублей или 69%;</w:t>
      </w:r>
    </w:p>
    <w:p w14:paraId="6DB4E599" w14:textId="77777777" w:rsidR="007B5443" w:rsidRDefault="007B5443" w:rsidP="007B544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средства областного бюджета – 59 800,6 тыс. рублей или 18,4%;</w:t>
      </w:r>
    </w:p>
    <w:p w14:paraId="4FD909CE" w14:textId="77777777" w:rsidR="007B5443" w:rsidRPr="00486B54" w:rsidRDefault="007B5443" w:rsidP="007B544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средства местного бюджета – 41 052,3 тыс. рублей или 12,6%.</w:t>
      </w:r>
    </w:p>
    <w:bookmarkEnd w:id="2"/>
    <w:p w14:paraId="4832A3CB" w14:textId="77777777" w:rsidR="007B5443" w:rsidRDefault="007B5443" w:rsidP="007B544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382D6C">
        <w:rPr>
          <w:bCs/>
          <w:sz w:val="28"/>
          <w:szCs w:val="28"/>
        </w:rPr>
        <w:t xml:space="preserve">По результатам осуществления конкурентных способов закупки экономия средств бюджета, предусмотренных на реализацию региональных проектов, составила в общей сумме </w:t>
      </w:r>
      <w:r>
        <w:rPr>
          <w:bCs/>
          <w:sz w:val="28"/>
          <w:szCs w:val="28"/>
        </w:rPr>
        <w:t>14 892,1</w:t>
      </w:r>
      <w:r w:rsidRPr="00382D6C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 xml:space="preserve">, что позволило часть средств направить на приобретение основных средств для переоснащения библиотеки по модельному стандарту, на </w:t>
      </w:r>
      <w:r w:rsidRPr="00892112">
        <w:rPr>
          <w:bCs/>
          <w:iCs/>
          <w:sz w:val="28"/>
          <w:szCs w:val="28"/>
        </w:rPr>
        <w:t>поставк</w:t>
      </w:r>
      <w:r>
        <w:rPr>
          <w:bCs/>
          <w:iCs/>
          <w:sz w:val="28"/>
          <w:szCs w:val="28"/>
        </w:rPr>
        <w:t>у</w:t>
      </w:r>
      <w:r w:rsidRPr="00892112">
        <w:rPr>
          <w:b/>
          <w:bCs/>
          <w:i/>
          <w:sz w:val="28"/>
          <w:szCs w:val="28"/>
        </w:rPr>
        <w:t xml:space="preserve"> </w:t>
      </w:r>
      <w:r w:rsidRPr="00892112">
        <w:rPr>
          <w:bCs/>
          <w:sz w:val="28"/>
          <w:szCs w:val="28"/>
        </w:rPr>
        <w:t>пластиковых передвижных контейнеров для сбора твердых коммунальных отходов</w:t>
      </w:r>
      <w:r>
        <w:rPr>
          <w:bCs/>
          <w:sz w:val="28"/>
          <w:szCs w:val="28"/>
        </w:rPr>
        <w:t xml:space="preserve">, обустройство контейнерных площадок, </w:t>
      </w:r>
    </w:p>
    <w:p w14:paraId="59C26C79" w14:textId="77777777" w:rsidR="007B5443" w:rsidRPr="006F4FC2" w:rsidRDefault="007B5443" w:rsidP="007B544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F4FC2">
        <w:rPr>
          <w:sz w:val="28"/>
          <w:szCs w:val="28"/>
        </w:rPr>
        <w:t xml:space="preserve">В рамках реализации региональных проектов за </w:t>
      </w:r>
      <w:r>
        <w:rPr>
          <w:sz w:val="28"/>
          <w:szCs w:val="28"/>
        </w:rPr>
        <w:t>9 месяцев</w:t>
      </w:r>
      <w:r w:rsidRPr="006F4FC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F4FC2">
        <w:rPr>
          <w:sz w:val="28"/>
          <w:szCs w:val="28"/>
        </w:rPr>
        <w:t xml:space="preserve"> г.  кассовое исполнение расходов составило </w:t>
      </w:r>
      <w:r>
        <w:rPr>
          <w:sz w:val="28"/>
          <w:szCs w:val="28"/>
        </w:rPr>
        <w:t>157 741,0</w:t>
      </w:r>
      <w:r w:rsidRPr="006F4FC2">
        <w:rPr>
          <w:sz w:val="28"/>
          <w:szCs w:val="28"/>
        </w:rPr>
        <w:t xml:space="preserve"> тыс. рублей (или </w:t>
      </w:r>
      <w:r>
        <w:rPr>
          <w:sz w:val="28"/>
          <w:szCs w:val="28"/>
        </w:rPr>
        <w:t>48,4</w:t>
      </w:r>
      <w:r w:rsidRPr="006F4FC2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                     </w:t>
      </w:r>
      <w:r w:rsidRPr="006F4FC2">
        <w:rPr>
          <w:sz w:val="28"/>
          <w:szCs w:val="28"/>
        </w:rPr>
        <w:t>от годового планового объема)</w:t>
      </w:r>
      <w:bookmarkStart w:id="3" w:name="_Hlk66191298"/>
      <w:r>
        <w:rPr>
          <w:sz w:val="28"/>
          <w:szCs w:val="28"/>
        </w:rPr>
        <w:t>.</w:t>
      </w:r>
    </w:p>
    <w:bookmarkEnd w:id="3"/>
    <w:p w14:paraId="12C853F9" w14:textId="77777777" w:rsidR="007B5443" w:rsidRPr="00384F8C" w:rsidRDefault="007B5443" w:rsidP="007B544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384F8C">
        <w:rPr>
          <w:color w:val="000000"/>
          <w:sz w:val="28"/>
          <w:szCs w:val="28"/>
        </w:rPr>
        <w:t xml:space="preserve"> </w:t>
      </w:r>
      <w:r w:rsidRPr="00DA61C4">
        <w:rPr>
          <w:bCs/>
          <w:color w:val="000000"/>
          <w:sz w:val="28"/>
          <w:szCs w:val="28"/>
        </w:rPr>
        <w:t xml:space="preserve">В рамках регионального проекта «Формирование комфортной городской среды» по всем трем общественным территориям и </w:t>
      </w:r>
      <w:r>
        <w:rPr>
          <w:bCs/>
          <w:color w:val="000000"/>
          <w:sz w:val="28"/>
          <w:szCs w:val="28"/>
        </w:rPr>
        <w:t>двум</w:t>
      </w:r>
      <w:r w:rsidRPr="00DA61C4">
        <w:rPr>
          <w:bCs/>
          <w:color w:val="000000"/>
          <w:sz w:val="28"/>
          <w:szCs w:val="28"/>
        </w:rPr>
        <w:t xml:space="preserve"> дворовым территориям подрядчиками нарушены сроки выполнения работ, предусмотренные </w:t>
      </w:r>
      <w:r>
        <w:rPr>
          <w:bCs/>
          <w:color w:val="000000"/>
          <w:sz w:val="28"/>
          <w:szCs w:val="28"/>
        </w:rPr>
        <w:t xml:space="preserve">муниципальными </w:t>
      </w:r>
      <w:r w:rsidRPr="00DA61C4">
        <w:rPr>
          <w:bCs/>
          <w:color w:val="000000"/>
          <w:sz w:val="28"/>
          <w:szCs w:val="28"/>
        </w:rPr>
        <w:t xml:space="preserve">контрактами.  </w:t>
      </w:r>
    </w:p>
    <w:p w14:paraId="4B24F057" w14:textId="77777777" w:rsidR="003B16F4" w:rsidRDefault="003B16F4" w:rsidP="00C06BEE">
      <w:pPr>
        <w:suppressAutoHyphens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14:paraId="4FAF8BBF" w14:textId="77777777" w:rsidR="005C5FB4" w:rsidRDefault="005C5FB4" w:rsidP="005C5FB4">
      <w:pPr>
        <w:pStyle w:val="a3"/>
        <w:tabs>
          <w:tab w:val="left" w:pos="1496"/>
        </w:tabs>
        <w:rPr>
          <w:sz w:val="28"/>
          <w:szCs w:val="28"/>
        </w:rPr>
      </w:pPr>
    </w:p>
    <w:p w14:paraId="1C90F6CE" w14:textId="77777777" w:rsidR="005C5FB4" w:rsidRPr="00554F0B" w:rsidRDefault="005C5FB4" w:rsidP="005C5FB4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54F0B">
        <w:rPr>
          <w:sz w:val="28"/>
          <w:szCs w:val="28"/>
        </w:rPr>
        <w:tab/>
      </w:r>
      <w:r w:rsidRPr="00554F0B">
        <w:rPr>
          <w:sz w:val="28"/>
          <w:szCs w:val="28"/>
        </w:rPr>
        <w:tab/>
      </w:r>
      <w:r>
        <w:rPr>
          <w:sz w:val="28"/>
          <w:szCs w:val="28"/>
        </w:rPr>
        <w:t xml:space="preserve">О.С. Кальчук </w:t>
      </w:r>
      <w:r w:rsidRPr="00554F0B">
        <w:rPr>
          <w:sz w:val="28"/>
          <w:szCs w:val="28"/>
        </w:rPr>
        <w:t xml:space="preserve"> </w:t>
      </w:r>
    </w:p>
    <w:p w14:paraId="381370E2" w14:textId="77777777" w:rsidR="005C5FB4" w:rsidRDefault="005C5FB4" w:rsidP="005C5FB4">
      <w:pPr>
        <w:rPr>
          <w:b/>
          <w:sz w:val="24"/>
          <w:szCs w:val="24"/>
        </w:rPr>
      </w:pPr>
    </w:p>
    <w:p w14:paraId="6E57F7DF" w14:textId="77777777" w:rsidR="005C5FB4" w:rsidRDefault="005C5FB4" w:rsidP="005C5FB4">
      <w:pPr>
        <w:rPr>
          <w:b/>
          <w:sz w:val="24"/>
          <w:szCs w:val="24"/>
        </w:rPr>
      </w:pPr>
    </w:p>
    <w:sectPr w:rsidR="005C5FB4" w:rsidSect="00086570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A635" w14:textId="77777777" w:rsidR="00241697" w:rsidRDefault="00241697" w:rsidP="00086570">
      <w:r>
        <w:separator/>
      </w:r>
    </w:p>
  </w:endnote>
  <w:endnote w:type="continuationSeparator" w:id="0">
    <w:p w14:paraId="5E639635" w14:textId="77777777" w:rsidR="00241697" w:rsidRDefault="00241697" w:rsidP="0008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8A7A" w14:textId="77777777" w:rsidR="00241697" w:rsidRDefault="00241697" w:rsidP="00086570">
      <w:r>
        <w:separator/>
      </w:r>
    </w:p>
  </w:footnote>
  <w:footnote w:type="continuationSeparator" w:id="0">
    <w:p w14:paraId="60CE378E" w14:textId="77777777" w:rsidR="00241697" w:rsidRDefault="00241697" w:rsidP="0008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F82"/>
    <w:multiLevelType w:val="hybridMultilevel"/>
    <w:tmpl w:val="7FE26F34"/>
    <w:lvl w:ilvl="0" w:tplc="FE5475E4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F54A81"/>
    <w:multiLevelType w:val="hybridMultilevel"/>
    <w:tmpl w:val="D7A67B0E"/>
    <w:lvl w:ilvl="0" w:tplc="15301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3868053">
    <w:abstractNumId w:val="1"/>
  </w:num>
  <w:num w:numId="2" w16cid:durableId="48367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FB4"/>
    <w:rsid w:val="00042A59"/>
    <w:rsid w:val="0007784E"/>
    <w:rsid w:val="00086570"/>
    <w:rsid w:val="001C432B"/>
    <w:rsid w:val="001C7280"/>
    <w:rsid w:val="0023422D"/>
    <w:rsid w:val="00241697"/>
    <w:rsid w:val="00293CE4"/>
    <w:rsid w:val="002C210F"/>
    <w:rsid w:val="002E7808"/>
    <w:rsid w:val="002F77FA"/>
    <w:rsid w:val="003B16F4"/>
    <w:rsid w:val="00482880"/>
    <w:rsid w:val="004A311A"/>
    <w:rsid w:val="0058705A"/>
    <w:rsid w:val="005C5FB4"/>
    <w:rsid w:val="005D4E42"/>
    <w:rsid w:val="005D7CD6"/>
    <w:rsid w:val="006555F6"/>
    <w:rsid w:val="00683BE9"/>
    <w:rsid w:val="007A6366"/>
    <w:rsid w:val="007B5443"/>
    <w:rsid w:val="00831627"/>
    <w:rsid w:val="00851B1C"/>
    <w:rsid w:val="008D56BE"/>
    <w:rsid w:val="008E0822"/>
    <w:rsid w:val="00A750FE"/>
    <w:rsid w:val="00B15502"/>
    <w:rsid w:val="00B80C9E"/>
    <w:rsid w:val="00C06BEE"/>
    <w:rsid w:val="00C74D90"/>
    <w:rsid w:val="00D159FE"/>
    <w:rsid w:val="00D208AA"/>
    <w:rsid w:val="00DB56D2"/>
    <w:rsid w:val="00E40D32"/>
    <w:rsid w:val="00E844A8"/>
    <w:rsid w:val="00E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9122"/>
  <w15:docId w15:val="{BEB2ABE9-A4BE-4F0A-A22A-3D54307C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F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C5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5C5FB4"/>
    <w:rPr>
      <w:i/>
      <w:iCs/>
    </w:rPr>
  </w:style>
  <w:style w:type="paragraph" w:styleId="a6">
    <w:name w:val="List Paragraph"/>
    <w:basedOn w:val="a"/>
    <w:uiPriority w:val="34"/>
    <w:qFormat/>
    <w:rsid w:val="005C5F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C5F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FB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86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65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8D56BE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ramnews.ru/wp-content/uploads/2021/02/nac_proekty_logo_sin_prav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20</cp:revision>
  <cp:lastPrinted>2025-05-22T04:35:00Z</cp:lastPrinted>
  <dcterms:created xsi:type="dcterms:W3CDTF">2023-05-11T06:21:00Z</dcterms:created>
  <dcterms:modified xsi:type="dcterms:W3CDTF">2025-11-07T10:51:00Z</dcterms:modified>
</cp:coreProperties>
</file>